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717A" w14:textId="7A0598F0" w:rsidR="00572FD4" w:rsidRDefault="008B23F7">
      <w:r>
        <w:t>Numicon Planning Numicon</w:t>
      </w:r>
      <w:r w:rsidR="002334E3">
        <w:t xml:space="preserve"> </w:t>
      </w:r>
      <w:r w:rsidR="00971894">
        <w:t>6</w:t>
      </w:r>
      <w:r w:rsidR="00C06014">
        <w:t xml:space="preserve"> NPC </w:t>
      </w:r>
      <w:r w:rsidR="00971894">
        <w:t>CAL 5</w:t>
      </w:r>
      <w:r w:rsidR="00C06014">
        <w:t xml:space="preserve"> </w:t>
      </w:r>
    </w:p>
    <w:p w14:paraId="4F867006" w14:textId="73846514" w:rsidR="008B23F7" w:rsidRDefault="008B23F7"/>
    <w:tbl>
      <w:tblPr>
        <w:tblStyle w:val="TableGrid"/>
        <w:tblW w:w="0" w:type="auto"/>
        <w:tblLook w:val="04A0" w:firstRow="1" w:lastRow="0" w:firstColumn="1" w:lastColumn="0" w:noHBand="0" w:noVBand="1"/>
      </w:tblPr>
      <w:tblGrid>
        <w:gridCol w:w="2565"/>
        <w:gridCol w:w="2565"/>
        <w:gridCol w:w="2565"/>
        <w:gridCol w:w="2565"/>
        <w:gridCol w:w="2565"/>
        <w:gridCol w:w="2565"/>
      </w:tblGrid>
      <w:tr w:rsidR="008B23F7" w14:paraId="71DBF499" w14:textId="77777777" w:rsidTr="008B23F7">
        <w:tc>
          <w:tcPr>
            <w:tcW w:w="2565" w:type="dxa"/>
          </w:tcPr>
          <w:p w14:paraId="7A9B6115" w14:textId="77777777" w:rsidR="008B23F7" w:rsidRPr="008A1394" w:rsidRDefault="008B23F7">
            <w:pPr>
              <w:rPr>
                <w:sz w:val="20"/>
                <w:szCs w:val="20"/>
              </w:rPr>
            </w:pPr>
          </w:p>
        </w:tc>
        <w:tc>
          <w:tcPr>
            <w:tcW w:w="2565" w:type="dxa"/>
          </w:tcPr>
          <w:p w14:paraId="35E861B5" w14:textId="03547F6C" w:rsidR="008B23F7" w:rsidRDefault="008B23F7">
            <w:r>
              <w:t>Monday</w:t>
            </w:r>
          </w:p>
        </w:tc>
        <w:tc>
          <w:tcPr>
            <w:tcW w:w="2565" w:type="dxa"/>
          </w:tcPr>
          <w:p w14:paraId="2EF938FE" w14:textId="65B031E7" w:rsidR="008B23F7" w:rsidRDefault="008B23F7">
            <w:r>
              <w:t>Tuesday</w:t>
            </w:r>
          </w:p>
        </w:tc>
        <w:tc>
          <w:tcPr>
            <w:tcW w:w="2565" w:type="dxa"/>
          </w:tcPr>
          <w:p w14:paraId="2A0C32C1" w14:textId="33EAC402" w:rsidR="008B23F7" w:rsidRDefault="008B23F7">
            <w:r>
              <w:t>Wednesday</w:t>
            </w:r>
          </w:p>
        </w:tc>
        <w:tc>
          <w:tcPr>
            <w:tcW w:w="2565" w:type="dxa"/>
          </w:tcPr>
          <w:p w14:paraId="3103DEB8" w14:textId="2C5B49AF" w:rsidR="008B23F7" w:rsidRDefault="008B23F7">
            <w:r>
              <w:t>Thursday</w:t>
            </w:r>
          </w:p>
        </w:tc>
        <w:tc>
          <w:tcPr>
            <w:tcW w:w="2565" w:type="dxa"/>
          </w:tcPr>
          <w:p w14:paraId="7C84130E" w14:textId="55DFC3EE" w:rsidR="008B23F7" w:rsidRDefault="008B23F7">
            <w:r>
              <w:t>Friday</w:t>
            </w:r>
          </w:p>
        </w:tc>
      </w:tr>
      <w:tr w:rsidR="008B23F7" w14:paraId="5403A7F6" w14:textId="77777777" w:rsidTr="00CD62AD">
        <w:tc>
          <w:tcPr>
            <w:tcW w:w="2565" w:type="dxa"/>
          </w:tcPr>
          <w:p w14:paraId="181A2998" w14:textId="39ED99DF" w:rsidR="008B23F7" w:rsidRPr="008A1394" w:rsidRDefault="008B23F7">
            <w:pPr>
              <w:rPr>
                <w:b/>
                <w:bCs/>
                <w:sz w:val="20"/>
                <w:szCs w:val="20"/>
              </w:rPr>
            </w:pPr>
            <w:r w:rsidRPr="008A1394">
              <w:rPr>
                <w:b/>
                <w:bCs/>
                <w:sz w:val="20"/>
                <w:szCs w:val="20"/>
              </w:rPr>
              <w:t>Activity Group Title</w:t>
            </w:r>
          </w:p>
        </w:tc>
        <w:tc>
          <w:tcPr>
            <w:tcW w:w="12825" w:type="dxa"/>
            <w:gridSpan w:val="5"/>
          </w:tcPr>
          <w:p w14:paraId="48AA9ADB" w14:textId="343D8466" w:rsidR="008B23F7" w:rsidRDefault="00971894">
            <w:r>
              <w:t>Exploring percentages,</w:t>
            </w:r>
            <w:r w:rsidR="00C06014">
              <w:t xml:space="preserve"> fractions, </w:t>
            </w:r>
            <w:r>
              <w:t xml:space="preserve">and </w:t>
            </w:r>
            <w:r w:rsidR="00C06014">
              <w:t xml:space="preserve">decimals </w:t>
            </w:r>
          </w:p>
        </w:tc>
      </w:tr>
      <w:tr w:rsidR="00B24F67" w14:paraId="4EE5AE58" w14:textId="77777777" w:rsidTr="0084121F">
        <w:tc>
          <w:tcPr>
            <w:tcW w:w="2565" w:type="dxa"/>
          </w:tcPr>
          <w:p w14:paraId="61EA6A8B" w14:textId="2ADF473F" w:rsidR="00B24F67" w:rsidRPr="008A1394" w:rsidRDefault="00B24F67">
            <w:pPr>
              <w:rPr>
                <w:sz w:val="20"/>
                <w:szCs w:val="20"/>
              </w:rPr>
            </w:pPr>
            <w:r w:rsidRPr="008A1394">
              <w:rPr>
                <w:sz w:val="20"/>
                <w:szCs w:val="20"/>
              </w:rPr>
              <w:t>Learning Opportunities</w:t>
            </w:r>
            <w:r w:rsidR="00C021E8" w:rsidRPr="008A1394">
              <w:rPr>
                <w:sz w:val="20"/>
                <w:szCs w:val="20"/>
              </w:rPr>
              <w:t xml:space="preserve">, Language, </w:t>
            </w:r>
          </w:p>
          <w:p w14:paraId="3C70CEEE" w14:textId="02FEF19C" w:rsidR="00B24F67" w:rsidRPr="008A1394" w:rsidRDefault="00B24F67">
            <w:pPr>
              <w:rPr>
                <w:sz w:val="20"/>
                <w:szCs w:val="20"/>
              </w:rPr>
            </w:pPr>
            <w:r w:rsidRPr="008A1394">
              <w:rPr>
                <w:sz w:val="20"/>
                <w:szCs w:val="20"/>
              </w:rPr>
              <w:t>Important activities and challenges</w:t>
            </w:r>
          </w:p>
        </w:tc>
        <w:tc>
          <w:tcPr>
            <w:tcW w:w="12825" w:type="dxa"/>
            <w:gridSpan w:val="5"/>
          </w:tcPr>
          <w:p w14:paraId="46F4B8CF"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Educational context</w:t>
            </w:r>
          </w:p>
          <w:p w14:paraId="3562ABE0"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This activity group focuses on using the language of percentage to describe and calculate proportions of some whole, and on percentage, common fraction and decimal equivalents. Key everyday contexts in which children encounter percentages involve money and measures, e.g. percentage discounts and special offers such as ‘50% extra free’ or ‘25% bigger’. Other areas of the curriculum, e.g. geography and science, also offer plenty of relevant opportunities.</w:t>
            </w:r>
          </w:p>
          <w:p w14:paraId="25687F93"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As children prepare for doing a range of routine calculations in a test environment, see Preparing for Formal Testing 4.</w:t>
            </w:r>
          </w:p>
          <w:p w14:paraId="34F30405" w14:textId="77777777" w:rsidR="0070315B" w:rsidRPr="0070315B" w:rsidRDefault="0070315B" w:rsidP="0070315B">
            <w:pPr>
              <w:widowControl w:val="0"/>
              <w:autoSpaceDE w:val="0"/>
              <w:autoSpaceDN w:val="0"/>
              <w:adjustRightInd w:val="0"/>
              <w:rPr>
                <w:rFonts w:cstheme="minorHAnsi"/>
                <w:sz w:val="19"/>
                <w:szCs w:val="19"/>
              </w:rPr>
            </w:pPr>
          </w:p>
          <w:p w14:paraId="69EDF095"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Learning opportunities</w:t>
            </w:r>
          </w:p>
          <w:p w14:paraId="683369E1"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 To understand relationships between percentages, fractions and decimals.</w:t>
            </w:r>
          </w:p>
          <w:p w14:paraId="1771D035"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 xml:space="preserve">• To express a simple proportion as a fraction with denominator </w:t>
            </w:r>
            <w:proofErr w:type="gramStart"/>
            <w:r w:rsidRPr="0070315B">
              <w:rPr>
                <w:rFonts w:cstheme="minorHAnsi"/>
                <w:sz w:val="19"/>
                <w:szCs w:val="19"/>
              </w:rPr>
              <w:t>100, and</w:t>
            </w:r>
            <w:proofErr w:type="gramEnd"/>
            <w:r w:rsidRPr="0070315B">
              <w:rPr>
                <w:rFonts w:cstheme="minorHAnsi"/>
                <w:sz w:val="19"/>
                <w:szCs w:val="19"/>
              </w:rPr>
              <w:t xml:space="preserve"> convert it to percentage and decimal equivalents.</w:t>
            </w:r>
          </w:p>
          <w:p w14:paraId="044D3136"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 To realize that percentages are useful for comparing proportions where the totals involved vary, e.g. 15 out of 20 and 35 out of 50 are more easily compared if they are expressed as 75% and 70%.</w:t>
            </w:r>
          </w:p>
          <w:p w14:paraId="2065A1B0"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 To understand that percentages are also used as operators, to find quantities which represent particular proportions of a total quantity.</w:t>
            </w:r>
          </w:p>
          <w:p w14:paraId="75F891D5" w14:textId="77777777" w:rsidR="0070315B" w:rsidRPr="0070315B" w:rsidRDefault="0070315B" w:rsidP="0070315B">
            <w:pPr>
              <w:widowControl w:val="0"/>
              <w:autoSpaceDE w:val="0"/>
              <w:autoSpaceDN w:val="0"/>
              <w:adjustRightInd w:val="0"/>
              <w:rPr>
                <w:rFonts w:cstheme="minorHAnsi"/>
                <w:sz w:val="19"/>
                <w:szCs w:val="19"/>
              </w:rPr>
            </w:pPr>
            <w:r w:rsidRPr="0070315B">
              <w:rPr>
                <w:rFonts w:cstheme="minorHAnsi"/>
                <w:sz w:val="19"/>
                <w:szCs w:val="19"/>
              </w:rPr>
              <w:t>• To calculate simple percentages of quantities and to find new quantities following a percentage increase or decrease.</w:t>
            </w:r>
          </w:p>
          <w:p w14:paraId="4574D48C" w14:textId="77777777" w:rsidR="00B24F67" w:rsidRDefault="0070315B" w:rsidP="0070315B">
            <w:pPr>
              <w:widowControl w:val="0"/>
              <w:autoSpaceDE w:val="0"/>
              <w:autoSpaceDN w:val="0"/>
              <w:adjustRightInd w:val="0"/>
              <w:rPr>
                <w:rFonts w:cstheme="minorHAnsi"/>
                <w:sz w:val="19"/>
                <w:szCs w:val="19"/>
              </w:rPr>
            </w:pPr>
            <w:r w:rsidRPr="0070315B">
              <w:rPr>
                <w:rFonts w:cstheme="minorHAnsi"/>
                <w:sz w:val="19"/>
                <w:szCs w:val="19"/>
              </w:rPr>
              <w:t>• To interpret and calculate with data presented in the form of percentages.</w:t>
            </w:r>
          </w:p>
          <w:p w14:paraId="1434CCE3" w14:textId="77777777" w:rsidR="0070315B" w:rsidRDefault="0070315B" w:rsidP="0070315B">
            <w:pPr>
              <w:widowControl w:val="0"/>
              <w:autoSpaceDE w:val="0"/>
              <w:autoSpaceDN w:val="0"/>
              <w:adjustRightInd w:val="0"/>
              <w:rPr>
                <w:rFonts w:cstheme="minorHAnsi"/>
                <w:sz w:val="19"/>
                <w:szCs w:val="19"/>
              </w:rPr>
            </w:pPr>
            <w:r>
              <w:rPr>
                <w:rFonts w:cstheme="minorHAnsi"/>
                <w:sz w:val="19"/>
                <w:szCs w:val="19"/>
              </w:rPr>
              <w:t>Language:</w:t>
            </w:r>
          </w:p>
          <w:p w14:paraId="178470BD" w14:textId="391ACBCA" w:rsidR="0070315B" w:rsidRPr="00C06014" w:rsidRDefault="0070315B" w:rsidP="0070315B">
            <w:pPr>
              <w:widowControl w:val="0"/>
              <w:autoSpaceDE w:val="0"/>
              <w:autoSpaceDN w:val="0"/>
              <w:adjustRightInd w:val="0"/>
              <w:rPr>
                <w:rFonts w:cstheme="minorHAnsi"/>
                <w:sz w:val="19"/>
                <w:szCs w:val="19"/>
              </w:rPr>
            </w:pPr>
            <w:r w:rsidRPr="0070315B">
              <w:rPr>
                <w:rFonts w:cstheme="minorHAnsi"/>
                <w:sz w:val="19"/>
                <w:szCs w:val="19"/>
              </w:rPr>
              <w:t>percentage, per cent, in every, for every, out of, proportion, hundredth, half, quarter, tenth, fraction, decimal, numerator, denominator, equivalent, simplify, discount, less, reduction, money off, more, bigger, extra</w:t>
            </w:r>
          </w:p>
        </w:tc>
      </w:tr>
      <w:tr w:rsidR="008B23F7" w14:paraId="28FE2A66" w14:textId="77777777" w:rsidTr="008B23F7">
        <w:tc>
          <w:tcPr>
            <w:tcW w:w="2565" w:type="dxa"/>
          </w:tcPr>
          <w:p w14:paraId="638718D6" w14:textId="77777777" w:rsidR="008B23F7" w:rsidRPr="008A1394" w:rsidRDefault="008B23F7">
            <w:pPr>
              <w:rPr>
                <w:b/>
                <w:bCs/>
                <w:sz w:val="20"/>
                <w:szCs w:val="20"/>
              </w:rPr>
            </w:pPr>
            <w:r w:rsidRPr="008A1394">
              <w:rPr>
                <w:b/>
                <w:bCs/>
                <w:sz w:val="20"/>
                <w:szCs w:val="20"/>
              </w:rPr>
              <w:t>Quick warm-up</w:t>
            </w:r>
          </w:p>
          <w:p w14:paraId="68379400" w14:textId="77777777" w:rsidR="008B23F7" w:rsidRPr="008A1394" w:rsidRDefault="008B23F7">
            <w:pPr>
              <w:rPr>
                <w:sz w:val="20"/>
                <w:szCs w:val="20"/>
              </w:rPr>
            </w:pPr>
            <w:r w:rsidRPr="008A1394">
              <w:rPr>
                <w:sz w:val="20"/>
                <w:szCs w:val="20"/>
              </w:rPr>
              <w:t>Maintenance</w:t>
            </w:r>
            <w:r w:rsidR="001D7C8A" w:rsidRPr="008A1394">
              <w:rPr>
                <w:sz w:val="20"/>
                <w:szCs w:val="20"/>
              </w:rPr>
              <w:t xml:space="preserve"> from</w:t>
            </w:r>
          </w:p>
          <w:p w14:paraId="4EDCD413" w14:textId="6A19DC6D" w:rsidR="001D7C8A" w:rsidRPr="008A1394" w:rsidRDefault="001D7C8A">
            <w:pPr>
              <w:rPr>
                <w:sz w:val="20"/>
                <w:szCs w:val="20"/>
              </w:rPr>
            </w:pPr>
            <w:r w:rsidRPr="008A1394">
              <w:rPr>
                <w:sz w:val="20"/>
                <w:szCs w:val="20"/>
              </w:rPr>
              <w:t>Teaching Handbook Whole Class activities</w:t>
            </w:r>
          </w:p>
        </w:tc>
        <w:tc>
          <w:tcPr>
            <w:tcW w:w="2565" w:type="dxa"/>
          </w:tcPr>
          <w:p w14:paraId="493AA8E9" w14:textId="77777777" w:rsidR="008A1394" w:rsidRPr="008A1394" w:rsidRDefault="008A1394">
            <w:pPr>
              <w:rPr>
                <w:sz w:val="20"/>
                <w:szCs w:val="20"/>
              </w:rPr>
            </w:pPr>
            <w:r w:rsidRPr="008A1394">
              <w:rPr>
                <w:sz w:val="20"/>
                <w:szCs w:val="20"/>
              </w:rPr>
              <w:t>With your partner write a description of ‘percentage’</w:t>
            </w:r>
          </w:p>
          <w:p w14:paraId="08C0C73B" w14:textId="7FF79D3A" w:rsidR="008B23F7" w:rsidRDefault="008B23F7"/>
        </w:tc>
        <w:tc>
          <w:tcPr>
            <w:tcW w:w="2565" w:type="dxa"/>
          </w:tcPr>
          <w:p w14:paraId="66A7CC3E" w14:textId="7B5032ED" w:rsidR="008B23F7" w:rsidRDefault="008B23F7"/>
        </w:tc>
        <w:tc>
          <w:tcPr>
            <w:tcW w:w="2565" w:type="dxa"/>
          </w:tcPr>
          <w:p w14:paraId="4E534E00" w14:textId="24235A69" w:rsidR="008A1394" w:rsidRPr="008A1394" w:rsidRDefault="008A1394">
            <w:pPr>
              <w:rPr>
                <w:sz w:val="20"/>
                <w:szCs w:val="20"/>
              </w:rPr>
            </w:pPr>
          </w:p>
        </w:tc>
        <w:tc>
          <w:tcPr>
            <w:tcW w:w="2565" w:type="dxa"/>
          </w:tcPr>
          <w:p w14:paraId="2F6B0718" w14:textId="77777777" w:rsidR="008A1394" w:rsidRDefault="00B906A3">
            <w:pPr>
              <w:rPr>
                <w:sz w:val="20"/>
                <w:szCs w:val="20"/>
              </w:rPr>
            </w:pPr>
            <w:r>
              <w:rPr>
                <w:sz w:val="20"/>
                <w:szCs w:val="20"/>
              </w:rPr>
              <w:t>NZ Population Data:</w:t>
            </w:r>
          </w:p>
          <w:p w14:paraId="4F746220" w14:textId="77777777" w:rsidR="00B906A3" w:rsidRDefault="00B906A3">
            <w:pPr>
              <w:rPr>
                <w:sz w:val="20"/>
                <w:szCs w:val="20"/>
              </w:rPr>
            </w:pPr>
            <w:r>
              <w:rPr>
                <w:sz w:val="20"/>
                <w:szCs w:val="20"/>
              </w:rPr>
              <w:t>Statistics NZ</w:t>
            </w:r>
          </w:p>
          <w:p w14:paraId="6CE429EB" w14:textId="3EE2106A" w:rsidR="00B906A3" w:rsidRPr="008A1394" w:rsidRDefault="00B906A3">
            <w:pPr>
              <w:rPr>
                <w:sz w:val="20"/>
                <w:szCs w:val="20"/>
              </w:rPr>
            </w:pPr>
            <w:r>
              <w:rPr>
                <w:sz w:val="20"/>
                <w:szCs w:val="20"/>
              </w:rPr>
              <w:t>Search for latest figures using your tablet.</w:t>
            </w:r>
            <w:bookmarkStart w:id="0" w:name="_GoBack"/>
            <w:bookmarkEnd w:id="0"/>
          </w:p>
        </w:tc>
        <w:tc>
          <w:tcPr>
            <w:tcW w:w="2565" w:type="dxa"/>
          </w:tcPr>
          <w:p w14:paraId="082906FF" w14:textId="369DCF53" w:rsidR="008B23F7" w:rsidRPr="008A1394" w:rsidRDefault="008A1394">
            <w:pPr>
              <w:rPr>
                <w:noProof/>
                <w:sz w:val="20"/>
                <w:szCs w:val="20"/>
              </w:rPr>
            </w:pPr>
            <w:r>
              <w:rPr>
                <w:noProof/>
                <w:sz w:val="20"/>
                <w:szCs w:val="20"/>
              </w:rPr>
              <w:t>Would you prefer to calculate interest rates in percentages, fractions or decimals.  Why?</w:t>
            </w:r>
          </w:p>
        </w:tc>
      </w:tr>
      <w:tr w:rsidR="008B23F7" w14:paraId="1A00AC89" w14:textId="77777777" w:rsidTr="008B23F7">
        <w:tc>
          <w:tcPr>
            <w:tcW w:w="2565" w:type="dxa"/>
          </w:tcPr>
          <w:p w14:paraId="49C7C2E0" w14:textId="77777777" w:rsidR="008B23F7" w:rsidRPr="008A1394" w:rsidRDefault="008B23F7">
            <w:pPr>
              <w:rPr>
                <w:sz w:val="20"/>
                <w:szCs w:val="20"/>
              </w:rPr>
            </w:pPr>
            <w:r w:rsidRPr="008A1394">
              <w:rPr>
                <w:b/>
                <w:bCs/>
                <w:sz w:val="20"/>
                <w:szCs w:val="20"/>
              </w:rPr>
              <w:t>Exploration</w:t>
            </w:r>
            <w:r w:rsidRPr="008A1394">
              <w:rPr>
                <w:sz w:val="20"/>
                <w:szCs w:val="20"/>
              </w:rPr>
              <w:t xml:space="preserve"> using the Pupil Book Practice section</w:t>
            </w:r>
          </w:p>
          <w:p w14:paraId="4DCC453A" w14:textId="3A6E9A6D" w:rsidR="008B23F7" w:rsidRPr="008A1394" w:rsidRDefault="008B23F7">
            <w:pPr>
              <w:rPr>
                <w:sz w:val="20"/>
                <w:szCs w:val="20"/>
              </w:rPr>
            </w:pPr>
            <w:r w:rsidRPr="008A1394">
              <w:rPr>
                <w:sz w:val="20"/>
                <w:szCs w:val="20"/>
              </w:rPr>
              <w:t xml:space="preserve">and Opening Pages </w:t>
            </w:r>
            <w:r w:rsidR="00B24F67" w:rsidRPr="008A1394">
              <w:rPr>
                <w:sz w:val="20"/>
                <w:szCs w:val="20"/>
              </w:rPr>
              <w:t>on Oxford Owl</w:t>
            </w:r>
            <w:r w:rsidR="00113467" w:rsidRPr="008A1394">
              <w:rPr>
                <w:sz w:val="20"/>
                <w:szCs w:val="20"/>
              </w:rPr>
              <w:t xml:space="preserve"> to solve problems</w:t>
            </w:r>
          </w:p>
          <w:p w14:paraId="1E437CCF" w14:textId="1C2B5D79" w:rsidR="008B23F7" w:rsidRPr="008A1394" w:rsidRDefault="008B23F7">
            <w:pPr>
              <w:rPr>
                <w:sz w:val="20"/>
                <w:szCs w:val="20"/>
              </w:rPr>
            </w:pPr>
          </w:p>
        </w:tc>
        <w:tc>
          <w:tcPr>
            <w:tcW w:w="2565" w:type="dxa"/>
          </w:tcPr>
          <w:p w14:paraId="3278E6CA" w14:textId="653139BD" w:rsidR="008B23F7" w:rsidRPr="00890779" w:rsidRDefault="008A1394">
            <w:pPr>
              <w:rPr>
                <w:sz w:val="20"/>
                <w:szCs w:val="20"/>
              </w:rPr>
            </w:pPr>
            <w:r w:rsidRPr="00890779">
              <w:rPr>
                <w:sz w:val="20"/>
                <w:szCs w:val="20"/>
              </w:rPr>
              <w:t xml:space="preserve">Page </w:t>
            </w:r>
            <w:r w:rsidR="00A96C0E">
              <w:rPr>
                <w:sz w:val="20"/>
                <w:szCs w:val="20"/>
              </w:rPr>
              <w:t>34</w:t>
            </w:r>
          </w:p>
          <w:p w14:paraId="1E17C1FB" w14:textId="67E714BC" w:rsidR="008A1394" w:rsidRPr="00890779" w:rsidRDefault="008A1394">
            <w:pPr>
              <w:rPr>
                <w:sz w:val="20"/>
                <w:szCs w:val="20"/>
              </w:rPr>
            </w:pPr>
            <w:r w:rsidRPr="00890779">
              <w:rPr>
                <w:sz w:val="20"/>
                <w:szCs w:val="20"/>
              </w:rPr>
              <w:t>Question</w:t>
            </w:r>
            <w:r w:rsidR="00890779" w:rsidRPr="00890779">
              <w:rPr>
                <w:sz w:val="20"/>
                <w:szCs w:val="20"/>
              </w:rPr>
              <w:t xml:space="preserve"> 1</w:t>
            </w:r>
          </w:p>
        </w:tc>
        <w:tc>
          <w:tcPr>
            <w:tcW w:w="2565" w:type="dxa"/>
          </w:tcPr>
          <w:p w14:paraId="72F6D9AE" w14:textId="688B32BE" w:rsidR="008B23F7" w:rsidRPr="00890779" w:rsidRDefault="00A96C0E">
            <w:pPr>
              <w:rPr>
                <w:sz w:val="20"/>
                <w:szCs w:val="20"/>
              </w:rPr>
            </w:pPr>
            <w:r>
              <w:rPr>
                <w:sz w:val="20"/>
                <w:szCs w:val="20"/>
              </w:rPr>
              <w:t>35</w:t>
            </w:r>
          </w:p>
          <w:p w14:paraId="1079772E" w14:textId="0309CDF8" w:rsidR="00890779" w:rsidRPr="00890779" w:rsidRDefault="00890779">
            <w:pPr>
              <w:rPr>
                <w:sz w:val="20"/>
                <w:szCs w:val="20"/>
              </w:rPr>
            </w:pPr>
            <w:r w:rsidRPr="00890779">
              <w:rPr>
                <w:sz w:val="20"/>
                <w:szCs w:val="20"/>
              </w:rPr>
              <w:t>Question 1</w:t>
            </w:r>
          </w:p>
        </w:tc>
        <w:tc>
          <w:tcPr>
            <w:tcW w:w="2565" w:type="dxa"/>
          </w:tcPr>
          <w:p w14:paraId="73360670" w14:textId="1F878C27" w:rsidR="008B23F7" w:rsidRPr="00890779" w:rsidRDefault="00A96C0E">
            <w:pPr>
              <w:rPr>
                <w:sz w:val="20"/>
                <w:szCs w:val="20"/>
              </w:rPr>
            </w:pPr>
            <w:r>
              <w:rPr>
                <w:sz w:val="20"/>
                <w:szCs w:val="20"/>
              </w:rPr>
              <w:t>36</w:t>
            </w:r>
          </w:p>
          <w:p w14:paraId="1EDDCDA5" w14:textId="4E5CBC65" w:rsidR="00890779" w:rsidRPr="00890779" w:rsidRDefault="00890779">
            <w:pPr>
              <w:rPr>
                <w:sz w:val="20"/>
                <w:szCs w:val="20"/>
              </w:rPr>
            </w:pPr>
            <w:r w:rsidRPr="00890779">
              <w:rPr>
                <w:sz w:val="20"/>
                <w:szCs w:val="20"/>
              </w:rPr>
              <w:t>Question</w:t>
            </w:r>
            <w:r w:rsidRPr="00890779">
              <w:rPr>
                <w:sz w:val="20"/>
                <w:szCs w:val="20"/>
              </w:rPr>
              <w:t>s</w:t>
            </w:r>
            <w:r w:rsidRPr="00890779">
              <w:rPr>
                <w:sz w:val="20"/>
                <w:szCs w:val="20"/>
              </w:rPr>
              <w:t xml:space="preserve"> 1</w:t>
            </w:r>
            <w:r w:rsidRPr="00890779">
              <w:rPr>
                <w:sz w:val="20"/>
                <w:szCs w:val="20"/>
              </w:rPr>
              <w:t xml:space="preserve"> and 2</w:t>
            </w:r>
          </w:p>
        </w:tc>
        <w:tc>
          <w:tcPr>
            <w:tcW w:w="2565" w:type="dxa"/>
          </w:tcPr>
          <w:p w14:paraId="3E26F3AE" w14:textId="5933D922" w:rsidR="008B23F7" w:rsidRPr="00890779" w:rsidRDefault="00A96C0E">
            <w:pPr>
              <w:rPr>
                <w:sz w:val="20"/>
                <w:szCs w:val="20"/>
              </w:rPr>
            </w:pPr>
            <w:r>
              <w:rPr>
                <w:sz w:val="20"/>
                <w:szCs w:val="20"/>
              </w:rPr>
              <w:t>37</w:t>
            </w:r>
            <w:r w:rsidR="00890779">
              <w:rPr>
                <w:sz w:val="20"/>
                <w:szCs w:val="20"/>
              </w:rPr>
              <w:t xml:space="preserve"> after the focus teaching</w:t>
            </w:r>
          </w:p>
        </w:tc>
        <w:tc>
          <w:tcPr>
            <w:tcW w:w="2565" w:type="dxa"/>
          </w:tcPr>
          <w:p w14:paraId="7C0566F6" w14:textId="025CF76C" w:rsidR="00890779" w:rsidRDefault="00890779">
            <w:pPr>
              <w:rPr>
                <w:sz w:val="20"/>
                <w:szCs w:val="20"/>
              </w:rPr>
            </w:pPr>
            <w:r>
              <w:rPr>
                <w:sz w:val="20"/>
                <w:szCs w:val="20"/>
              </w:rPr>
              <w:t xml:space="preserve">Explorer Progress </w:t>
            </w:r>
          </w:p>
          <w:p w14:paraId="775F31A6" w14:textId="5FF0EA9D" w:rsidR="008B23F7" w:rsidRPr="00890779" w:rsidRDefault="00890779">
            <w:pPr>
              <w:rPr>
                <w:sz w:val="20"/>
                <w:szCs w:val="20"/>
              </w:rPr>
            </w:pPr>
            <w:r>
              <w:rPr>
                <w:sz w:val="20"/>
                <w:szCs w:val="20"/>
              </w:rPr>
              <w:t xml:space="preserve">Book </w:t>
            </w:r>
            <w:r w:rsidR="00A96C0E" w:rsidRPr="00A96C0E">
              <w:rPr>
                <w:sz w:val="20"/>
                <w:szCs w:val="20"/>
              </w:rPr>
              <w:t>6a, pp. 18–19</w:t>
            </w:r>
          </w:p>
        </w:tc>
      </w:tr>
      <w:tr w:rsidR="00755DE5" w14:paraId="4A2BC4F5" w14:textId="77777777" w:rsidTr="00110AC0">
        <w:trPr>
          <w:trHeight w:val="879"/>
        </w:trPr>
        <w:tc>
          <w:tcPr>
            <w:tcW w:w="2565" w:type="dxa"/>
          </w:tcPr>
          <w:p w14:paraId="1138EA47" w14:textId="650181BF" w:rsidR="00755DE5" w:rsidRPr="008A1394" w:rsidRDefault="00755DE5">
            <w:pPr>
              <w:rPr>
                <w:b/>
                <w:bCs/>
                <w:sz w:val="20"/>
                <w:szCs w:val="20"/>
              </w:rPr>
            </w:pPr>
            <w:r w:rsidRPr="008A1394">
              <w:rPr>
                <w:b/>
                <w:bCs/>
                <w:sz w:val="20"/>
                <w:szCs w:val="20"/>
              </w:rPr>
              <w:t>Whole Class</w:t>
            </w:r>
          </w:p>
          <w:p w14:paraId="53B23012" w14:textId="77777777" w:rsidR="00755DE5" w:rsidRPr="008A1394" w:rsidRDefault="00755DE5" w:rsidP="00B4233C">
            <w:pPr>
              <w:pStyle w:val="ListParagraph"/>
              <w:numPr>
                <w:ilvl w:val="0"/>
                <w:numId w:val="2"/>
              </w:numPr>
              <w:rPr>
                <w:sz w:val="20"/>
                <w:szCs w:val="20"/>
              </w:rPr>
            </w:pPr>
            <w:r w:rsidRPr="008A1394">
              <w:rPr>
                <w:sz w:val="20"/>
                <w:szCs w:val="20"/>
              </w:rPr>
              <w:t>Discuss the outcomes</w:t>
            </w:r>
          </w:p>
          <w:p w14:paraId="69CE152E" w14:textId="6820A6FC" w:rsidR="00755DE5" w:rsidRPr="008A1394" w:rsidRDefault="00755DE5" w:rsidP="00B4233C">
            <w:pPr>
              <w:pStyle w:val="ListParagraph"/>
              <w:numPr>
                <w:ilvl w:val="0"/>
                <w:numId w:val="2"/>
              </w:numPr>
              <w:rPr>
                <w:sz w:val="20"/>
                <w:szCs w:val="20"/>
              </w:rPr>
            </w:pPr>
            <w:r w:rsidRPr="008A1394">
              <w:rPr>
                <w:sz w:val="20"/>
                <w:szCs w:val="20"/>
              </w:rPr>
              <w:t>Focus Activities</w:t>
            </w:r>
            <w:r w:rsidR="001D7C8A" w:rsidRPr="008A1394">
              <w:rPr>
                <w:sz w:val="20"/>
                <w:szCs w:val="20"/>
              </w:rPr>
              <w:t xml:space="preserve"> from Teaching Handbook</w:t>
            </w:r>
          </w:p>
        </w:tc>
        <w:tc>
          <w:tcPr>
            <w:tcW w:w="2565" w:type="dxa"/>
          </w:tcPr>
          <w:p w14:paraId="0D844AD2" w14:textId="77777777" w:rsidR="00755DE5" w:rsidRDefault="00890779">
            <w:pPr>
              <w:rPr>
                <w:sz w:val="20"/>
                <w:szCs w:val="20"/>
              </w:rPr>
            </w:pPr>
            <w:r w:rsidRPr="00890779">
              <w:rPr>
                <w:sz w:val="20"/>
                <w:szCs w:val="20"/>
              </w:rPr>
              <w:t>Focus Activit</w:t>
            </w:r>
            <w:r>
              <w:rPr>
                <w:sz w:val="20"/>
                <w:szCs w:val="20"/>
              </w:rPr>
              <w:t>ies</w:t>
            </w:r>
            <w:r w:rsidRPr="00890779">
              <w:rPr>
                <w:sz w:val="20"/>
                <w:szCs w:val="20"/>
              </w:rPr>
              <w:t xml:space="preserve"> 1</w:t>
            </w:r>
            <w:r>
              <w:rPr>
                <w:sz w:val="20"/>
                <w:szCs w:val="20"/>
              </w:rPr>
              <w:t xml:space="preserve"> and 2</w:t>
            </w:r>
          </w:p>
          <w:p w14:paraId="56C60D2A" w14:textId="77777777" w:rsidR="001B12E7" w:rsidRPr="001B12E7" w:rsidRDefault="001B12E7" w:rsidP="001B12E7">
            <w:pPr>
              <w:pStyle w:val="Default"/>
              <w:rPr>
                <w:rFonts w:asciiTheme="minorHAnsi" w:hAnsiTheme="minorHAnsi" w:cstheme="minorHAnsi"/>
                <w:sz w:val="19"/>
                <w:szCs w:val="19"/>
                <w:lang w:val="en-CA"/>
              </w:rPr>
            </w:pPr>
            <w:r w:rsidRPr="001B12E7">
              <w:rPr>
                <w:rFonts w:asciiTheme="minorHAnsi" w:eastAsia="VAGRoundedStd-Light" w:hAnsiTheme="minorHAnsi" w:cstheme="minorHAnsi"/>
                <w:color w:val="1A1A1A"/>
                <w:sz w:val="18"/>
                <w:szCs w:val="18"/>
              </w:rPr>
              <w:t xml:space="preserve">1. </w:t>
            </w:r>
            <w:r w:rsidRPr="001B12E7">
              <w:rPr>
                <w:rFonts w:asciiTheme="minorHAnsi" w:hAnsiTheme="minorHAnsi" w:cstheme="minorHAnsi"/>
                <w:sz w:val="19"/>
                <w:szCs w:val="19"/>
                <w:lang w:val="en-CA"/>
              </w:rPr>
              <w:t>Making connections between fractions, decimals and percentages</w:t>
            </w:r>
          </w:p>
          <w:p w14:paraId="220F6339" w14:textId="224BF36B" w:rsidR="00520341" w:rsidRPr="00890779" w:rsidRDefault="00520341" w:rsidP="001B12E7">
            <w:pPr>
              <w:pStyle w:val="Default"/>
              <w:rPr>
                <w:sz w:val="20"/>
                <w:szCs w:val="20"/>
              </w:rPr>
            </w:pPr>
          </w:p>
        </w:tc>
        <w:tc>
          <w:tcPr>
            <w:tcW w:w="2565" w:type="dxa"/>
          </w:tcPr>
          <w:p w14:paraId="560BF1C8" w14:textId="5D00A9AA" w:rsidR="00520341" w:rsidRDefault="00890779" w:rsidP="001B12E7">
            <w:pPr>
              <w:rPr>
                <w:sz w:val="20"/>
                <w:szCs w:val="20"/>
              </w:rPr>
            </w:pPr>
            <w:r w:rsidRPr="00890779">
              <w:rPr>
                <w:sz w:val="20"/>
                <w:szCs w:val="20"/>
              </w:rPr>
              <w:t xml:space="preserve">Focus </w:t>
            </w:r>
            <w:r w:rsidR="001B12E7">
              <w:rPr>
                <w:sz w:val="20"/>
                <w:szCs w:val="20"/>
              </w:rPr>
              <w:t xml:space="preserve">Activity </w:t>
            </w:r>
          </w:p>
          <w:p w14:paraId="3397AE26" w14:textId="77777777" w:rsidR="001B12E7" w:rsidRPr="001B12E7" w:rsidRDefault="001B12E7" w:rsidP="001B12E7">
            <w:pPr>
              <w:pStyle w:val="Default"/>
              <w:rPr>
                <w:rFonts w:asciiTheme="minorHAnsi" w:hAnsiTheme="minorHAnsi" w:cstheme="minorHAnsi"/>
                <w:sz w:val="19"/>
                <w:szCs w:val="19"/>
                <w:lang w:val="en-CA"/>
              </w:rPr>
            </w:pPr>
            <w:r w:rsidRPr="001B12E7">
              <w:rPr>
                <w:rFonts w:asciiTheme="minorHAnsi" w:hAnsiTheme="minorHAnsi" w:cstheme="minorHAnsi"/>
                <w:sz w:val="19"/>
                <w:szCs w:val="19"/>
                <w:lang w:val="en-CA"/>
              </w:rPr>
              <w:t>2. Using percentages to compare scores</w:t>
            </w:r>
          </w:p>
          <w:p w14:paraId="5AAD481A" w14:textId="77777777" w:rsidR="001B12E7" w:rsidRPr="00520341" w:rsidRDefault="001B12E7" w:rsidP="001B12E7">
            <w:pPr>
              <w:rPr>
                <w:sz w:val="20"/>
                <w:szCs w:val="20"/>
              </w:rPr>
            </w:pPr>
          </w:p>
          <w:p w14:paraId="435E4F8F" w14:textId="06175902" w:rsidR="00520341" w:rsidRPr="00890779" w:rsidRDefault="00520341" w:rsidP="00520341">
            <w:pPr>
              <w:rPr>
                <w:sz w:val="20"/>
                <w:szCs w:val="20"/>
              </w:rPr>
            </w:pPr>
          </w:p>
        </w:tc>
        <w:tc>
          <w:tcPr>
            <w:tcW w:w="2565" w:type="dxa"/>
          </w:tcPr>
          <w:p w14:paraId="789D8693" w14:textId="7D79D1FE" w:rsidR="00755DE5" w:rsidRDefault="00890779">
            <w:pPr>
              <w:rPr>
                <w:sz w:val="20"/>
                <w:szCs w:val="20"/>
              </w:rPr>
            </w:pPr>
            <w:r w:rsidRPr="00890779">
              <w:rPr>
                <w:sz w:val="20"/>
                <w:szCs w:val="20"/>
              </w:rPr>
              <w:t>Focus Activit</w:t>
            </w:r>
            <w:r>
              <w:rPr>
                <w:sz w:val="20"/>
                <w:szCs w:val="20"/>
              </w:rPr>
              <w:t xml:space="preserve">y  </w:t>
            </w:r>
          </w:p>
          <w:p w14:paraId="76DD2E96" w14:textId="77777777" w:rsidR="001B12E7" w:rsidRPr="001B12E7" w:rsidRDefault="001B12E7" w:rsidP="001B12E7">
            <w:pPr>
              <w:pStyle w:val="Default"/>
              <w:rPr>
                <w:rFonts w:asciiTheme="minorHAnsi" w:hAnsiTheme="minorHAnsi" w:cstheme="minorHAnsi"/>
                <w:sz w:val="19"/>
                <w:szCs w:val="19"/>
                <w:lang w:val="en-CA"/>
              </w:rPr>
            </w:pPr>
            <w:r w:rsidRPr="001B12E7">
              <w:rPr>
                <w:rFonts w:asciiTheme="minorHAnsi" w:hAnsiTheme="minorHAnsi" w:cstheme="minorHAnsi"/>
                <w:sz w:val="19"/>
                <w:szCs w:val="19"/>
                <w:lang w:val="en-CA"/>
              </w:rPr>
              <w:t>3. Calculating simple percentage increases</w:t>
            </w:r>
          </w:p>
          <w:p w14:paraId="141EF03A" w14:textId="6B3C5F0D" w:rsidR="00520341" w:rsidRPr="00890779" w:rsidRDefault="00520341" w:rsidP="00520341">
            <w:pPr>
              <w:rPr>
                <w:sz w:val="20"/>
                <w:szCs w:val="20"/>
              </w:rPr>
            </w:pPr>
          </w:p>
        </w:tc>
        <w:tc>
          <w:tcPr>
            <w:tcW w:w="2565" w:type="dxa"/>
          </w:tcPr>
          <w:p w14:paraId="0BABAB27" w14:textId="6944322E" w:rsidR="00755DE5" w:rsidRDefault="00890779">
            <w:pPr>
              <w:rPr>
                <w:sz w:val="20"/>
                <w:szCs w:val="20"/>
              </w:rPr>
            </w:pPr>
            <w:r w:rsidRPr="00890779">
              <w:rPr>
                <w:sz w:val="20"/>
                <w:szCs w:val="20"/>
              </w:rPr>
              <w:t>Focus Activit</w:t>
            </w:r>
            <w:r>
              <w:rPr>
                <w:sz w:val="20"/>
                <w:szCs w:val="20"/>
              </w:rPr>
              <w:t>y</w:t>
            </w:r>
            <w:r>
              <w:rPr>
                <w:sz w:val="20"/>
                <w:szCs w:val="20"/>
              </w:rPr>
              <w:t xml:space="preserve"> </w:t>
            </w:r>
          </w:p>
          <w:p w14:paraId="663EAE35" w14:textId="77777777" w:rsidR="001B12E7" w:rsidRPr="001B12E7" w:rsidRDefault="001B12E7" w:rsidP="001B12E7">
            <w:pPr>
              <w:pStyle w:val="Default"/>
              <w:rPr>
                <w:rFonts w:asciiTheme="minorHAnsi" w:hAnsiTheme="minorHAnsi" w:cstheme="minorHAnsi"/>
                <w:sz w:val="19"/>
                <w:szCs w:val="19"/>
                <w:lang w:val="en-CA"/>
              </w:rPr>
            </w:pPr>
            <w:r w:rsidRPr="001B12E7">
              <w:rPr>
                <w:rFonts w:asciiTheme="minorHAnsi" w:hAnsiTheme="minorHAnsi" w:cstheme="minorHAnsi"/>
                <w:sz w:val="19"/>
                <w:szCs w:val="19"/>
                <w:lang w:val="en-CA"/>
              </w:rPr>
              <w:t>4. Calculating simple percentage decreases</w:t>
            </w:r>
          </w:p>
          <w:p w14:paraId="0DAE0D62" w14:textId="77777777" w:rsidR="001B12E7" w:rsidRPr="001B12E7" w:rsidRDefault="001B12E7" w:rsidP="001B12E7">
            <w:pPr>
              <w:pStyle w:val="Default"/>
              <w:rPr>
                <w:rFonts w:asciiTheme="minorHAnsi" w:hAnsiTheme="minorHAnsi" w:cstheme="minorHAnsi"/>
                <w:sz w:val="19"/>
                <w:szCs w:val="19"/>
                <w:lang w:val="en-CA"/>
              </w:rPr>
            </w:pPr>
            <w:r w:rsidRPr="001B12E7">
              <w:rPr>
                <w:rFonts w:asciiTheme="minorHAnsi" w:hAnsiTheme="minorHAnsi" w:cstheme="minorHAnsi"/>
                <w:sz w:val="19"/>
                <w:szCs w:val="19"/>
                <w:lang w:val="en-CA"/>
              </w:rPr>
              <w:t>5. Exploring data involving percentages</w:t>
            </w:r>
          </w:p>
          <w:p w14:paraId="01F29B4B" w14:textId="783361DF" w:rsidR="00520341" w:rsidRPr="00890779" w:rsidRDefault="00520341" w:rsidP="00520341">
            <w:pPr>
              <w:rPr>
                <w:sz w:val="20"/>
                <w:szCs w:val="20"/>
              </w:rPr>
            </w:pPr>
          </w:p>
        </w:tc>
        <w:tc>
          <w:tcPr>
            <w:tcW w:w="2565" w:type="dxa"/>
          </w:tcPr>
          <w:p w14:paraId="533C44E4" w14:textId="77777777" w:rsidR="00755DE5" w:rsidRPr="00890779" w:rsidRDefault="00755DE5">
            <w:pPr>
              <w:rPr>
                <w:sz w:val="20"/>
                <w:szCs w:val="20"/>
              </w:rPr>
            </w:pPr>
          </w:p>
        </w:tc>
      </w:tr>
      <w:tr w:rsidR="008B23F7" w14:paraId="0E0E80B0" w14:textId="77777777" w:rsidTr="008B23F7">
        <w:tc>
          <w:tcPr>
            <w:tcW w:w="2565" w:type="dxa"/>
          </w:tcPr>
          <w:p w14:paraId="2C492A10" w14:textId="77777777" w:rsidR="00B24F67" w:rsidRPr="008A1394" w:rsidRDefault="00755DE5">
            <w:pPr>
              <w:rPr>
                <w:sz w:val="20"/>
                <w:szCs w:val="20"/>
              </w:rPr>
            </w:pPr>
            <w:r w:rsidRPr="008A1394">
              <w:rPr>
                <w:b/>
                <w:bCs/>
                <w:sz w:val="20"/>
                <w:szCs w:val="20"/>
              </w:rPr>
              <w:t>Independent</w:t>
            </w:r>
            <w:r w:rsidRPr="008A1394">
              <w:rPr>
                <w:sz w:val="20"/>
                <w:szCs w:val="20"/>
              </w:rPr>
              <w:t xml:space="preserve"> </w:t>
            </w:r>
            <w:r w:rsidR="00B24F67" w:rsidRPr="008A1394">
              <w:rPr>
                <w:sz w:val="20"/>
                <w:szCs w:val="20"/>
              </w:rPr>
              <w:t>Activities from Teaching Handbook</w:t>
            </w:r>
          </w:p>
          <w:p w14:paraId="43BF9373" w14:textId="537E3878" w:rsidR="00755DE5" w:rsidRPr="008A1394" w:rsidRDefault="00755DE5">
            <w:pPr>
              <w:rPr>
                <w:sz w:val="20"/>
                <w:szCs w:val="20"/>
              </w:rPr>
            </w:pPr>
            <w:r w:rsidRPr="008A1394">
              <w:rPr>
                <w:sz w:val="20"/>
                <w:szCs w:val="20"/>
              </w:rPr>
              <w:t>and</w:t>
            </w:r>
          </w:p>
          <w:p w14:paraId="32BDAB8C" w14:textId="64C6FDE4" w:rsidR="008B23F7" w:rsidRPr="008A1394" w:rsidRDefault="00B24F67">
            <w:pPr>
              <w:rPr>
                <w:sz w:val="20"/>
                <w:szCs w:val="20"/>
              </w:rPr>
            </w:pPr>
            <w:r w:rsidRPr="008A1394">
              <w:rPr>
                <w:sz w:val="20"/>
                <w:szCs w:val="20"/>
              </w:rPr>
              <w:t xml:space="preserve">Pupil Book </w:t>
            </w:r>
            <w:r w:rsidR="008B23F7" w:rsidRPr="008A1394">
              <w:rPr>
                <w:sz w:val="20"/>
                <w:szCs w:val="20"/>
              </w:rPr>
              <w:t>In</w:t>
            </w:r>
            <w:r w:rsidR="00757E70" w:rsidRPr="008A1394">
              <w:rPr>
                <w:sz w:val="20"/>
                <w:szCs w:val="20"/>
              </w:rPr>
              <w:t>-</w:t>
            </w:r>
            <w:r w:rsidR="008B23F7" w:rsidRPr="008A1394">
              <w:rPr>
                <w:sz w:val="20"/>
                <w:szCs w:val="20"/>
              </w:rPr>
              <w:t>depth</w:t>
            </w:r>
          </w:p>
        </w:tc>
        <w:tc>
          <w:tcPr>
            <w:tcW w:w="2565" w:type="dxa"/>
          </w:tcPr>
          <w:p w14:paraId="3846159C" w14:textId="77777777" w:rsidR="008B23F7" w:rsidRDefault="00890779">
            <w:pPr>
              <w:rPr>
                <w:sz w:val="20"/>
                <w:szCs w:val="20"/>
              </w:rPr>
            </w:pPr>
            <w:r>
              <w:rPr>
                <w:sz w:val="20"/>
                <w:szCs w:val="20"/>
              </w:rPr>
              <w:t>After activity 2</w:t>
            </w:r>
          </w:p>
          <w:p w14:paraId="316AF6D9" w14:textId="67B627AA" w:rsidR="00890779" w:rsidRPr="00890779" w:rsidRDefault="00890779">
            <w:pPr>
              <w:rPr>
                <w:sz w:val="20"/>
                <w:szCs w:val="20"/>
              </w:rPr>
            </w:pPr>
            <w:r>
              <w:rPr>
                <w:sz w:val="20"/>
                <w:szCs w:val="20"/>
              </w:rPr>
              <w:t>Complete PB 102</w:t>
            </w:r>
          </w:p>
        </w:tc>
        <w:tc>
          <w:tcPr>
            <w:tcW w:w="2565" w:type="dxa"/>
          </w:tcPr>
          <w:p w14:paraId="134D5BD2" w14:textId="1DDD44B2" w:rsidR="00890779" w:rsidRDefault="00890779" w:rsidP="00890779">
            <w:pPr>
              <w:rPr>
                <w:sz w:val="20"/>
                <w:szCs w:val="20"/>
              </w:rPr>
            </w:pPr>
            <w:r>
              <w:rPr>
                <w:sz w:val="20"/>
                <w:szCs w:val="20"/>
              </w:rPr>
              <w:t xml:space="preserve">After activity </w:t>
            </w:r>
            <w:r>
              <w:rPr>
                <w:sz w:val="20"/>
                <w:szCs w:val="20"/>
              </w:rPr>
              <w:t>3</w:t>
            </w:r>
          </w:p>
          <w:p w14:paraId="5A100070" w14:textId="51CB37DA" w:rsidR="00890779" w:rsidRDefault="00890779" w:rsidP="00890779">
            <w:pPr>
              <w:rPr>
                <w:sz w:val="20"/>
                <w:szCs w:val="20"/>
              </w:rPr>
            </w:pPr>
            <w:r>
              <w:rPr>
                <w:sz w:val="20"/>
                <w:szCs w:val="20"/>
              </w:rPr>
              <w:t xml:space="preserve">After activity </w:t>
            </w:r>
            <w:r>
              <w:rPr>
                <w:sz w:val="20"/>
                <w:szCs w:val="20"/>
              </w:rPr>
              <w:t>4</w:t>
            </w:r>
          </w:p>
          <w:p w14:paraId="4CA110D8" w14:textId="070E38F8" w:rsidR="00890779" w:rsidRDefault="00890779" w:rsidP="00890779">
            <w:pPr>
              <w:rPr>
                <w:sz w:val="20"/>
                <w:szCs w:val="20"/>
              </w:rPr>
            </w:pPr>
            <w:r>
              <w:rPr>
                <w:sz w:val="20"/>
                <w:szCs w:val="20"/>
              </w:rPr>
              <w:t>Complete PB 10</w:t>
            </w:r>
            <w:r>
              <w:rPr>
                <w:sz w:val="20"/>
                <w:szCs w:val="20"/>
              </w:rPr>
              <w:t>3</w:t>
            </w:r>
          </w:p>
          <w:p w14:paraId="6F8CA644" w14:textId="47AC37D1" w:rsidR="008B23F7" w:rsidRPr="00890779" w:rsidRDefault="008B23F7" w:rsidP="00890779">
            <w:pPr>
              <w:rPr>
                <w:sz w:val="20"/>
                <w:szCs w:val="20"/>
              </w:rPr>
            </w:pPr>
          </w:p>
        </w:tc>
        <w:tc>
          <w:tcPr>
            <w:tcW w:w="2565" w:type="dxa"/>
          </w:tcPr>
          <w:p w14:paraId="65B7FDAA" w14:textId="77777777" w:rsidR="00890779" w:rsidRDefault="00890779">
            <w:pPr>
              <w:rPr>
                <w:sz w:val="20"/>
                <w:szCs w:val="20"/>
              </w:rPr>
            </w:pPr>
            <w:r>
              <w:rPr>
                <w:sz w:val="20"/>
                <w:szCs w:val="20"/>
              </w:rPr>
              <w:t>After Activity 5</w:t>
            </w:r>
          </w:p>
          <w:p w14:paraId="2F196253" w14:textId="77777777" w:rsidR="008B23F7" w:rsidRDefault="00890779">
            <w:pPr>
              <w:rPr>
                <w:sz w:val="20"/>
                <w:szCs w:val="20"/>
              </w:rPr>
            </w:pPr>
            <w:r>
              <w:rPr>
                <w:sz w:val="20"/>
                <w:szCs w:val="20"/>
              </w:rPr>
              <w:t>Complete PB 104</w:t>
            </w:r>
          </w:p>
          <w:p w14:paraId="01D36AD4" w14:textId="5B9F444F" w:rsidR="001B12E7" w:rsidRPr="00890779" w:rsidRDefault="001B12E7">
            <w:pPr>
              <w:rPr>
                <w:sz w:val="20"/>
                <w:szCs w:val="20"/>
              </w:rPr>
            </w:pPr>
            <w:r>
              <w:rPr>
                <w:sz w:val="20"/>
                <w:szCs w:val="20"/>
              </w:rPr>
              <w:t>Explore More 11 Supermarket Offers</w:t>
            </w:r>
          </w:p>
        </w:tc>
        <w:tc>
          <w:tcPr>
            <w:tcW w:w="2565" w:type="dxa"/>
          </w:tcPr>
          <w:p w14:paraId="073BF5C5" w14:textId="77777777" w:rsidR="008B23F7" w:rsidRDefault="00890779">
            <w:pPr>
              <w:rPr>
                <w:sz w:val="20"/>
                <w:szCs w:val="20"/>
              </w:rPr>
            </w:pPr>
            <w:r>
              <w:rPr>
                <w:sz w:val="20"/>
                <w:szCs w:val="20"/>
              </w:rPr>
              <w:t>After activity 6</w:t>
            </w:r>
          </w:p>
          <w:p w14:paraId="26B5FEB0" w14:textId="4B835B90" w:rsidR="00890779" w:rsidRPr="00890779" w:rsidRDefault="00890779">
            <w:pPr>
              <w:rPr>
                <w:sz w:val="20"/>
                <w:szCs w:val="20"/>
              </w:rPr>
            </w:pPr>
            <w:r>
              <w:rPr>
                <w:sz w:val="20"/>
                <w:szCs w:val="20"/>
              </w:rPr>
              <w:t>Complete PB 10</w:t>
            </w:r>
            <w:r>
              <w:rPr>
                <w:sz w:val="20"/>
                <w:szCs w:val="20"/>
              </w:rPr>
              <w:t>5</w:t>
            </w:r>
          </w:p>
        </w:tc>
        <w:tc>
          <w:tcPr>
            <w:tcW w:w="2565" w:type="dxa"/>
          </w:tcPr>
          <w:p w14:paraId="2EF87E35" w14:textId="77777777" w:rsidR="008B23F7" w:rsidRPr="00890779" w:rsidRDefault="008B23F7">
            <w:pPr>
              <w:rPr>
                <w:sz w:val="20"/>
                <w:szCs w:val="20"/>
              </w:rPr>
            </w:pPr>
          </w:p>
        </w:tc>
      </w:tr>
      <w:tr w:rsidR="008B23F7" w14:paraId="6BF08AA5" w14:textId="77777777" w:rsidTr="008B23F7">
        <w:tc>
          <w:tcPr>
            <w:tcW w:w="2565" w:type="dxa"/>
          </w:tcPr>
          <w:p w14:paraId="5E82D736" w14:textId="0475B6DD" w:rsidR="008B23F7" w:rsidRPr="008A1394" w:rsidRDefault="00755DE5">
            <w:pPr>
              <w:rPr>
                <w:b/>
                <w:bCs/>
                <w:sz w:val="20"/>
                <w:szCs w:val="20"/>
              </w:rPr>
            </w:pPr>
            <w:r w:rsidRPr="008A1394">
              <w:rPr>
                <w:b/>
                <w:bCs/>
                <w:sz w:val="20"/>
                <w:szCs w:val="20"/>
              </w:rPr>
              <w:t>Reflection</w:t>
            </w:r>
          </w:p>
          <w:p w14:paraId="32F4EF3D" w14:textId="49F1ACE7" w:rsidR="00B4233C" w:rsidRPr="008A1394" w:rsidRDefault="00B4233C">
            <w:pPr>
              <w:rPr>
                <w:b/>
                <w:bCs/>
                <w:sz w:val="20"/>
                <w:szCs w:val="20"/>
              </w:rPr>
            </w:pPr>
            <w:r w:rsidRPr="008A1394">
              <w:rPr>
                <w:b/>
                <w:bCs/>
                <w:sz w:val="20"/>
                <w:szCs w:val="20"/>
              </w:rPr>
              <w:lastRenderedPageBreak/>
              <w:t>Whole class</w:t>
            </w:r>
          </w:p>
          <w:p w14:paraId="5D6B93B6" w14:textId="08F5F348" w:rsidR="00755DE5" w:rsidRPr="008A1394" w:rsidRDefault="00755DE5">
            <w:pPr>
              <w:rPr>
                <w:b/>
                <w:bCs/>
                <w:sz w:val="20"/>
                <w:szCs w:val="20"/>
              </w:rPr>
            </w:pPr>
          </w:p>
        </w:tc>
        <w:tc>
          <w:tcPr>
            <w:tcW w:w="2565" w:type="dxa"/>
          </w:tcPr>
          <w:p w14:paraId="030E9AAB" w14:textId="77777777" w:rsidR="008B23F7" w:rsidRDefault="008B23F7"/>
        </w:tc>
        <w:tc>
          <w:tcPr>
            <w:tcW w:w="2565" w:type="dxa"/>
          </w:tcPr>
          <w:p w14:paraId="625034A9" w14:textId="77777777" w:rsidR="008B23F7" w:rsidRDefault="008B23F7"/>
        </w:tc>
        <w:tc>
          <w:tcPr>
            <w:tcW w:w="2565" w:type="dxa"/>
          </w:tcPr>
          <w:p w14:paraId="3A012D7C" w14:textId="77777777" w:rsidR="008B23F7" w:rsidRDefault="008B23F7"/>
        </w:tc>
        <w:tc>
          <w:tcPr>
            <w:tcW w:w="2565" w:type="dxa"/>
          </w:tcPr>
          <w:p w14:paraId="5A3AC2B7" w14:textId="77777777" w:rsidR="008B23F7" w:rsidRDefault="008B23F7"/>
        </w:tc>
        <w:tc>
          <w:tcPr>
            <w:tcW w:w="2565" w:type="dxa"/>
          </w:tcPr>
          <w:p w14:paraId="1B4CCA10" w14:textId="77777777" w:rsidR="008B23F7" w:rsidRDefault="008B23F7"/>
        </w:tc>
      </w:tr>
    </w:tbl>
    <w:p w14:paraId="3926945F" w14:textId="77777777" w:rsidR="008B23F7" w:rsidRDefault="008B23F7"/>
    <w:sectPr w:rsidR="008B23F7" w:rsidSect="008B23F7">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Std Thin">
    <w:altName w:val="Calibri"/>
    <w:panose1 w:val="020B0604020202020204"/>
    <w:charset w:val="00"/>
    <w:family w:val="swiss"/>
    <w:notTrueType/>
    <w:pitch w:val="default"/>
    <w:sig w:usb0="00000003" w:usb1="00000000" w:usb2="00000000" w:usb3="00000000" w:csb0="00000001" w:csb1="00000000"/>
  </w:font>
  <w:font w:name="VAGRounded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977"/>
    <w:multiLevelType w:val="hybridMultilevel"/>
    <w:tmpl w:val="C47C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23435"/>
    <w:multiLevelType w:val="hybridMultilevel"/>
    <w:tmpl w:val="014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F7"/>
    <w:rsid w:val="000134A7"/>
    <w:rsid w:val="00113467"/>
    <w:rsid w:val="001B12E7"/>
    <w:rsid w:val="001D7C8A"/>
    <w:rsid w:val="002334E3"/>
    <w:rsid w:val="002A6E7E"/>
    <w:rsid w:val="002F622D"/>
    <w:rsid w:val="003277F5"/>
    <w:rsid w:val="003404F8"/>
    <w:rsid w:val="003957D7"/>
    <w:rsid w:val="004111F2"/>
    <w:rsid w:val="00414CD9"/>
    <w:rsid w:val="00423CE7"/>
    <w:rsid w:val="0042649B"/>
    <w:rsid w:val="004C40AC"/>
    <w:rsid w:val="00520341"/>
    <w:rsid w:val="00561FBD"/>
    <w:rsid w:val="0070315B"/>
    <w:rsid w:val="00727D3D"/>
    <w:rsid w:val="00746020"/>
    <w:rsid w:val="00755DE5"/>
    <w:rsid w:val="00757E70"/>
    <w:rsid w:val="0078656B"/>
    <w:rsid w:val="0086587F"/>
    <w:rsid w:val="00890779"/>
    <w:rsid w:val="008A1394"/>
    <w:rsid w:val="008A4DFA"/>
    <w:rsid w:val="008B23F7"/>
    <w:rsid w:val="00940E5A"/>
    <w:rsid w:val="00971894"/>
    <w:rsid w:val="009B15D8"/>
    <w:rsid w:val="00A1280D"/>
    <w:rsid w:val="00A96C0E"/>
    <w:rsid w:val="00AB7346"/>
    <w:rsid w:val="00AC7D9C"/>
    <w:rsid w:val="00AD3582"/>
    <w:rsid w:val="00AF628C"/>
    <w:rsid w:val="00B24F67"/>
    <w:rsid w:val="00B4233C"/>
    <w:rsid w:val="00B8079D"/>
    <w:rsid w:val="00B906A3"/>
    <w:rsid w:val="00B93A32"/>
    <w:rsid w:val="00C021E8"/>
    <w:rsid w:val="00C06014"/>
    <w:rsid w:val="00CC6743"/>
    <w:rsid w:val="00D704EF"/>
    <w:rsid w:val="00D902E4"/>
    <w:rsid w:val="00DA7640"/>
    <w:rsid w:val="00E02E6F"/>
    <w:rsid w:val="00E31A28"/>
    <w:rsid w:val="00F84226"/>
    <w:rsid w:val="00FA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D9EB"/>
  <w14:defaultImageDpi w14:val="32767"/>
  <w15:chartTrackingRefBased/>
  <w15:docId w15:val="{6DB3D289-E13C-C049-AB6B-3EFF363C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DFA"/>
    <w:pPr>
      <w:ind w:left="720"/>
      <w:contextualSpacing/>
    </w:pPr>
  </w:style>
  <w:style w:type="paragraph" w:customStyle="1" w:styleId="Default">
    <w:name w:val="Default"/>
    <w:rsid w:val="001B12E7"/>
    <w:pPr>
      <w:widowControl w:val="0"/>
      <w:autoSpaceDE w:val="0"/>
      <w:autoSpaceDN w:val="0"/>
      <w:adjustRightInd w:val="0"/>
    </w:pPr>
    <w:rPr>
      <w:rFonts w:ascii="VAG Rounded Std Thin" w:eastAsia="Times New Roman" w:hAnsi="VAG Rounded Std Thin" w:cs="VAG Rounded Std Thi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Leech</dc:creator>
  <cp:keywords/>
  <dc:description/>
  <cp:lastModifiedBy>Margi Leech</cp:lastModifiedBy>
  <cp:revision>6</cp:revision>
  <cp:lastPrinted>2019-10-18T05:35:00Z</cp:lastPrinted>
  <dcterms:created xsi:type="dcterms:W3CDTF">2019-10-18T05:36:00Z</dcterms:created>
  <dcterms:modified xsi:type="dcterms:W3CDTF">2019-10-18T05:44:00Z</dcterms:modified>
</cp:coreProperties>
</file>